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2ENL</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English</w:t>
              </w:r>
            </w:hyperlink>
            <w:r w:rsidDel="00000000" w:rsidR="00000000" w:rsidRPr="00000000">
              <w:rPr>
                <w:rFonts w:ascii="Source Sans Pro" w:cs="Source Sans Pro" w:eastAsia="Source Sans Pro" w:hAnsi="Source Sans Pro"/>
                <w:sz w:val="30"/>
                <w:szCs w:val="30"/>
                <w:rtl w:val="0"/>
              </w:rPr>
              <w:t xml:space="preserve"> Literature</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6"/>
                <w:szCs w:val="26"/>
              </w:rPr>
            </w:pPr>
            <w:r w:rsidDel="00000000" w:rsidR="00000000" w:rsidRPr="00000000">
              <w:rPr>
                <w:rFonts w:ascii="Source Sans Pro" w:cs="Source Sans Pro" w:eastAsia="Source Sans Pro" w:hAnsi="Source Sans Pro"/>
                <w:sz w:val="24"/>
                <w:szCs w:val="24"/>
                <w:rtl w:val="0"/>
              </w:rPr>
              <w:t xml:space="preserve">Step into a dynamic literature-rich class designed to challenge and inspire. You’ll sharpen your critical thinking, master advanced literary analysis, and refine your writing with precision and flair. Expect high expectations, vibrant discussion, and the opportunity to push your skills beyond the standard curriculum. Whether you're dissecting Shakespeare or crafting persuasive essays, this course will stretch your mind and elevate your confidence. Get ready to think deeply, write boldly, and unlock your academic potential.</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C">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gain a deeper appreciation and understanding of a range of texts through close reading, and how you are positioned as a reader</w:t>
              </w:r>
            </w:hyperlink>
            <w:r w:rsidDel="00000000" w:rsidR="00000000" w:rsidRPr="00000000">
              <w:rPr>
                <w:rtl w:val="0"/>
              </w:rPr>
            </w:r>
          </w:p>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further develop your writing skills and your narrative position in a range of genres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learn to respond to texts on a personal level and develop your ability to make connections between yourself, the text, and the world around yo</w:t>
              </w:r>
            </w:hyperlink>
            <w:r w:rsidDel="00000000" w:rsidR="00000000" w:rsidRPr="00000000">
              <w:rPr>
                <w:rtl w:val="0"/>
              </w:rPr>
              <w:t xml:space="preserve">u</w:t>
            </w:r>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You will learn to unpack language features and analyse how writers use them to create meaning and influence their audience</w:t>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91104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Analyse significant connections across texts,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91105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information literacy skills to form a developed conclusion.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AS91098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Analyse specific aspect(s) of studied written text(s), supported by evidence.*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AS91099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Analyse specific aspect(s) of studied visual or oral text(s), supported by evidence.*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91100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Analyse significant aspects of unfamiliar written text(s) through close reading,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AS93001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Scholarship English</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2"/>
                <w:szCs w:val="12"/>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Fonts w:ascii="Source Sans Pro" w:cs="Source Sans Pro" w:eastAsia="Source Sans Pro" w:hAnsi="Source Sans Pro"/>
                <w:sz w:val="12"/>
                <w:szCs w:val="12"/>
                <w:rtl w:val="0"/>
              </w:rPr>
              <w:t xml:space="preserv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 91101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rFonts w:ascii="Source Sans Pro" w:cs="Source Sans Pro" w:eastAsia="Source Sans Pro" w:hAnsi="Source Sans Pro"/>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Produce a selection of crafted and controlled writing</w:t>
              </w:r>
            </w:hyperlink>
            <w:r w:rsidDel="00000000" w:rsidR="00000000" w:rsidRPr="00000000">
              <w:rPr>
                <w:rFonts w:ascii="Source Sans Pro" w:cs="Source Sans Pro" w:eastAsia="Source Sans Pro" w:hAnsi="Source Sans Pro"/>
                <w:sz w:val="16"/>
                <w:szCs w:val="16"/>
                <w:rtl w:val="0"/>
              </w:rPr>
              <w:t xml:space="preserv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89">
      <w:pPr>
        <w:widowControl w:val="0"/>
        <w:spacing w:line="240" w:lineRule="auto"/>
        <w:ind w:left="0" w:firstLine="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*Students will choose ONE of either written or visual text for this examination. </w:t>
      </w:r>
    </w:p>
    <w:p w:rsidR="00000000" w:rsidDel="00000000" w:rsidP="00000000" w:rsidRDefault="00000000" w:rsidRPr="00000000" w14:paraId="0000008A">
      <w:pPr>
        <w:widowControl w:val="0"/>
        <w:spacing w:line="240" w:lineRule="auto"/>
        <w:ind w:left="0" w:firstLine="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**Optional for students requiring University Entrance Writing credits.</w:t>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4.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