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1MTX</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MUSIC TECHNOLOGY </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 will learn introductory skills and knowledge to allow you to set up for a live gig and mix audio while learning about AV equipment.  You will develop skills to set up and operate a live sound system for conferences, events, or live music performances. Evidence for assessments will naturally fall out of your learning and participation in setting up for events.  There may also be an opportunity to undertake some learning for the lighting standards. These standards do allow you to gain merit and excellence grades.</w:t>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Learn how to sequence using MIDI</w:t>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Learn basic setup and packdown or a PA system for a sound event</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Learn basic recording and mixing skills</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Learn health and safety requirements for live sound production</w:t>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Apply knowledge and skills to live music and performance events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US32300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Demonstrate and apply introductory knowledge of MIDI sequencing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Written, Practical demonstration of skills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US32301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Demonstrate and apply introductory knowledge of a music notation application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US27656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Demonstrate and apply introductory knowledge of music technology equipment and techniques.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Written, Practical demonstration of skills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US26687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Demonstrate and apply knowledge of sound technology for a performance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Written, Practical demonstration of skills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www.nzqa.govt.nz/ncea/subjects/literacy-and-numeracy/level-1-requirements/lit-num-subjects/"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qualifications-standards/awards/university-entrance/literacy-requiremen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