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2TRA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2 </w:t>
              </w:r>
            </w:hyperlink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FUTURE TRADES ACADEMY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449142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The Bay of Plenty Futures Academy offers Year 12 students the opportunity to attend Level 2 NCEA courses delivered by Toi Ohomai and other private providers.  You will combine your school learning experience with tertiary trades training. While attending your off-site course you are tutored in theory and practical work by industry trained tutors. You are assessed against industry and core generic unit standards. Level 2 Trades courses require you to attend the training provider’s campus once a week during school hours and transport may be provided.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515151"/>
                <w:sz w:val="24"/>
                <w:szCs w:val="24"/>
                <w:rtl w:val="0"/>
              </w:rPr>
              <w:t xml:space="preserve">NOTE: YOU MUST HAVE HAD AN INTERVIEW WITH THE CAREERS TEAM BEFORE ENTRY INTO THIS COURSE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4491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Pathways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engage in vocational/trades based programmes that pathway to skills-based qualifications on the National Qualifications Framework, pre-trade entry experience, local apprenticeships, or further tertiary trades training.</w:t>
            </w: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Source Sans Pro" w:cs="Source Sans Pro" w:eastAsia="Source Sans Pro" w:hAnsi="Source Sans Pro"/>
          <w:b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sz w:val="30"/>
          <w:szCs w:val="30"/>
          <w:rtl w:val="0"/>
        </w:rPr>
        <w:t xml:space="preserve">EXAMPLE OF 2026 COURSES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2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0"/>
        <w:gridCol w:w="4360"/>
        <w:gridCol w:w="1460"/>
        <w:gridCol w:w="1260"/>
        <w:gridCol w:w="1040"/>
        <w:gridCol w:w="1040"/>
        <w:gridCol w:w="1040"/>
        <w:gridCol w:w="1040"/>
        <w:tblGridChange w:id="0">
          <w:tblGrid>
            <w:gridCol w:w="1040"/>
            <w:gridCol w:w="4360"/>
            <w:gridCol w:w="1460"/>
            <w:gridCol w:w="1260"/>
            <w:gridCol w:w="1040"/>
            <w:gridCol w:w="1040"/>
            <w:gridCol w:w="10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Scuba Diving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Intro to IT Support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Intro to Cafe Skills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2-3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Barbering 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Barbering and Hairdressing in a Salon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Digital Business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Game Development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Film and Content Creation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Digital Illustration and Character Design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Construction 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1-3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Automotive Engineering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1-3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Build a Go Kart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Mechanical Engineering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Farming (Agriculture)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Hospitality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Hair, Retail &amp; Beauty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Fashion and Design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Written/Practical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jc w:val="center"/>
        <w:rPr>
          <w:rFonts w:ascii="Source Sans Pro" w:cs="Source Sans Pro" w:eastAsia="Source Sans Pro" w:hAnsi="Source Sans Pr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4914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www.nzqa.govt.nz/ncea/subjects/literacy-and-numeracy/level-1-requirements/lit-num-subjects/" TargetMode="External"/><Relationship Id="rId14" Type="http://schemas.openxmlformats.org/officeDocument/2006/relationships/hyperlink" Target="https://www.nzqa.govt.nz/ncea/subjects/literacy-and-numeracy/level-1-requirements/lit-num-subjects/" TargetMode="External"/><Relationship Id="rId17" Type="http://schemas.openxmlformats.org/officeDocument/2006/relationships/hyperlink" Target="https://www.nzqa.govt.nz/qualifications-standards/awards/university-entrance/literacy-requirements/" TargetMode="External"/><Relationship Id="rId16" Type="http://schemas.openxmlformats.org/officeDocument/2006/relationships/hyperlink" Target="https://www.nzqa.govt.nz/qualifications-standards/awards/university-entrance/literacy-requirements/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