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3DRA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Drama</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Level 3 Drama challenges students to take greater ownership of their creative work through advanced devising, directing, and performance. They will explore complex themes, theatre styles, and scripts, and lead aspects of production. Students will analyse live theatre, reflect critically on their own process, and refine their skills in voice, movement, and character. Collaboration, creativity, and leadership are key. </w:t>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Prior drama experience is highly recommended, as students are expected to work independently and contribute at a high level. This course prepares students for tertiary study or careers in the arts, communication, or leadership fields.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br w:type="textWrapping"/>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research the purposes of production, performance, and technologies of drama in a range of contexts, including New Zealand drama AND explore how drama reflects our cultural diversity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select and refine the use of techniques, conventions, and technologies in specific dramatic forms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research, critically evaluate, and refine ideas to develop drama in specific dramatic forms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rehearse and perform works in a range of dramatic forms AND respond to and make critical judgements about rehearsal processes and performances </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AS91512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Interpret scripted text to integrate drama techniques in 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 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AS91513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Devise and perform a drama to realise a concept.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 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AS91517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Perform a substantial acting role in a significant production.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AS91518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live drama 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