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2PED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Level 2 Physical Education</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color w:val="515151"/>
                <w:sz w:val="24"/>
                <w:szCs w:val="24"/>
                <w:rtl w:val="0"/>
              </w:rPr>
              <w:t xml:space="preserve">Biophysical factors in action</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color w:val="515151"/>
                <w:sz w:val="24"/>
                <w:szCs w:val="24"/>
                <w:rtl w:val="0"/>
              </w:rPr>
              <w:t xml:space="preserve">In the level 2 Physical Education course you will use a challenged based learning programme to explore learning in, through and about movement. You will continue to develop knowledge in the fields of sport science and performance improvement through a process of designing physical activity and sport specific training programmes. You will have the opportunity to learn various motor skills, analysing what is happening to the human body, from anatomy and biomechanics to physiology and psychology. You will be encouraged to critically evaluate the personal and sociological significance of sports and physical activity, thinking critically about the world around us and the impact you can make.</w:t>
            </w:r>
            <w:hyperlink r:id="rId7">
              <w:r w:rsidDel="00000000" w:rsidR="00000000" w:rsidRPr="00000000">
                <w:rPr>
                  <w:rFonts w:ascii="Source Sans Pro" w:cs="Source Sans Pro" w:eastAsia="Source Sans Pro" w:hAnsi="Source Sans Pro"/>
                  <w:color w:val="515151"/>
                  <w:sz w:val="24"/>
                  <w:szCs w:val="24"/>
                  <w:rtl w:val="0"/>
                </w:rPr>
                <w:br w:type="textWrapping"/>
                <w:br w:type="textWrapping"/>
              </w:r>
            </w:hyperlink>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design a training programme for a physical activity event</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analyse the anatomy and biomechanics of movement in sport</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 Students will compete in a physical activity event</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Students will evaluate the impact of sport on people in the local and wider communities of Aotearoa</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develop their leadership strategies and apply them in a school context </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AS91328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Demonstrate understanding of how and why biophysical principles relate to the learning of physical skills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AS91329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Demonstrate understanding of the application of biophysical principles to training for physical activity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AS91330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Perform a physical activity in an applied setting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AS91331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Examine the significance for self, others and society of a sporting event, a physical activity, or a festival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AS91332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Evaluate leadership strategies that contribute to the effective functioning of a group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6">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ncea/subjects/literacy-and-numeracy/level-1-requirements/lit-num-subjects/" TargetMode="External"/><Relationship Id="rId22" Type="http://schemas.openxmlformats.org/officeDocument/2006/relationships/hyperlink" Target="https://www.nzqa.govt.nz/qualifications-standards/awards/university-entrance/literacy-requirements/"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6.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