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1SCT</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515151"/>
                <w:sz w:val="30"/>
                <w:szCs w:val="30"/>
                <w:rtl w:val="0"/>
              </w:rPr>
              <w:t xml:space="preserve">1 </w:t>
            </w:r>
            <w:hyperlink r:id="rId6">
              <w:r w:rsidDel="00000000" w:rsidR="00000000" w:rsidRPr="00000000">
                <w:rPr>
                  <w:rFonts w:ascii="Source Sans Pro" w:cs="Source Sans Pro" w:eastAsia="Source Sans Pro" w:hAnsi="Source Sans Pro"/>
                  <w:color w:val="515151"/>
                  <w:sz w:val="30"/>
                  <w:szCs w:val="30"/>
                  <w:rtl w:val="0"/>
                </w:rPr>
                <w:t xml:space="preserve">Hauora Tangata: Wellbeing of the People</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This course explores hauora through the context of kai and digestion. The first half covers nutrition, including the beneficial and harmful roles of microorganisms in food such as yoghurt and rēwena. Students will also delve into questions around microorganisms and food through different investigative methodologies. The second half investigates the digestive system, and the chemical reactions that surround food and digestion. The course concludes by exploring genetics that make our bodies unique, including a variety of genetic digestive disorders.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Science</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 Understand that scientists’ investigations are informed by current scientific theories and aim to collect evidence that will be interpreted through processes of logical argument</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Show an increasing awareness of the complexity of working scientifically, including recognition of multiple variables, and begin to evaluate the suitability of the investigative methods chosen</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Use particle theory to explain factors that affect chemical processes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Explore patterns in the inheritance of genetically controlled characteristics and explain the importance of variation within a changing environment</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AS92020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Demonstrate understanding of of the relationship between a microorganism and the environment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AS92021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Demonstrate understanding of a chemical reaction in a specific context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Practical Presentation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16"/>
                <w:szCs w:val="16"/>
                <w:rtl w:val="0"/>
              </w:rPr>
              <w:t xml:space="preserve">AS92022</w:t>
            </w:r>
          </w:p>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fldChar w:fldCharType="end"/>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Demonstrate understanding of genetic variation in relation to an identified characteristic</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Written, Test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AS</w:t>
              </w:r>
            </w:hyperlink>
            <w:r w:rsidDel="00000000" w:rsidR="00000000" w:rsidRPr="00000000">
              <w:rPr>
                <w:rFonts w:ascii="Source Sans Pro" w:cs="Source Sans Pro" w:eastAsia="Source Sans Pro" w:hAnsi="Source Sans Pro"/>
                <w:color w:val="515151"/>
                <w:sz w:val="16"/>
                <w:szCs w:val="16"/>
                <w:rtl w:val="0"/>
              </w:rPr>
              <w:t xml:space="preserve">91921</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Demonstrate understanding of the use of a  range of scientific investigative approaches in a context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Portfolio, Practical 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C">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6.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2.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4.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1.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