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2SCI</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Science</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general science course offers a broad exploration of scientific concepts, ideal for students who prefer a varied approach over specialization. There's a strong emphasis on internal assessments, with an option for external assessment. The curriculum primarily delves into Earth and Space Science with some Biology, alongside scientific investigation methods. Students will engage in a personalized, inquiry-based learning experience using local contexts to understand the living world, material science, and the wider universe.</w:t>
            </w:r>
            <w:hyperlink r:id="rId7">
              <w:r w:rsidDel="00000000" w:rsidR="00000000" w:rsidRPr="00000000">
                <w:rPr>
                  <w:rFonts w:ascii="Source Sans Pro" w:cs="Source Sans Pro" w:eastAsia="Source Sans Pro" w:hAnsi="Source Sans Pro"/>
                  <w:color w:val="515151"/>
                  <w:sz w:val="24"/>
                  <w:szCs w:val="24"/>
                  <w:rtl w:val="0"/>
                </w:rPr>
                <w:br w:type="textWrapping"/>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Understand that scientists have an obligation to connect their new ideas to current and historical scientific knowledge and to present their findings for peer review and debate</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Use relevant information to develop a coherent understanding of socioscientific issues that concern them, to identify possible responses at both personal and societal levels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Explore the diverse ways in which animals and plants carry out the life processes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Develop an understanding of the causes of natural hazards and their interactions with human activity on Earth</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AS91190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Investigate how organisms survive in an extreme environment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AS91189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w:t>
            </w:r>
            <w:hyperlink r:id="rId31">
              <w:r w:rsidDel="00000000" w:rsidR="00000000" w:rsidRPr="00000000">
                <w:rPr>
                  <w:rFonts w:ascii="Source Sans Pro" w:cs="Source Sans Pro" w:eastAsia="Source Sans Pro" w:hAnsi="Source Sans Pro"/>
                  <w:color w:val="515151"/>
                  <w:sz w:val="16"/>
                  <w:szCs w:val="16"/>
                  <w:rtl w:val="0"/>
                </w:rPr>
                <w:t xml:space="preserve">nvestigate geological processes in a New Zealand locality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AS91187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Carry out a practical Earth and Space Science investigation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Practical and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AS91188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Examine an Earth and Space Science issue and the validity of the information communicated to the public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4.png"/><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