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3BIO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Biology</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Level 3 Biology course explores evolutionary processes leading to speciation, and plant and animal responses. You'll link biological ideas with scientific evidence to understand these processes and how organisms adapt. Through authentic, localised, and inquiry-based contexts, you'll investigate and explain our living world and the wider universe. Learning experiences include practical, research, and examination-based tasks.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Demonstrate understanding of linked biological ideas and/or scientific evidence about evolutionary processes leading to speciation</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Develop an understanding of biological ideas relating to role of natural selection, mutation, gene flow and genetic drift</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Identifying the modes of speciation (sympatric, allopatric) including reproductive isolating mechanisms that contribute to speciation</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Identify the patterns such as divergence, convergence, adaptive radiation, co-evolution, punctuated equilibrium, and gradualism</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Demonstrate understanding of the scientific evidence for evolution, which may include examples from New Zealand’s flora and fauna, fossil evidence, comparative anatomy, molecular biology and biogeography</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AS91605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Demonstrating understanding of evolutionary processes leading to speciation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AS91601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Carry out a practical investigation in a biological context, with guidance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Practical and 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AS91603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Demonstrate understanding of the responses of plants and animals to their external environment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AS91604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Demonstrate understanding of how an animal maintains a stable internal environment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6E">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6.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