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1COM</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Commerce</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Learning in this subject will provide ākonga key information they will be able to use throughout their lives to build understanding of how businesses they will work in and the economy in which they will be part of operates. In addition, they will begin to understand how to manage their personal finances.</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Students will be introduced to the world of commerce, discovering the underlying purposes - pūtake - of organisations and the different types of organisations. They will then make a financial decision for a real organisation; some students will also be given the opportunity to develop their knowledge of the financial model used in a personal finance scenario. Students will then determine how an organisation prices its products and how that pricing is impacted by events.</w:t>
            </w:r>
          </w:p>
          <w:p w:rsidR="00000000" w:rsidDel="00000000" w:rsidP="00000000" w:rsidRDefault="00000000" w:rsidRPr="00000000" w14:paraId="0000000C">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Towards the end of the year students will work towards completion of an external examination to demonstrate their understanding of how an organisation’s financial viability is affected by an event.</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Culture and values shape consumer perspectives and organisations’ pūtake</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Informed financial and non-financial decision-making and action can result in the sustainable use of scarce resources and positive outcomes for stakeholders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Whānau, communities, and organisations are financially interdependent</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Society benefits through kaitiakitanga, enterprise, innovation, and tauhokohoko</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AS92028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Demonstrate understanding of an organisation’s financial decision making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US28088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Demonstrate understanding of credit and debt on personal finances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AS92029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Demonstrate understanding of price determination for an organisation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AS92031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Demonstrate understanding of how an organisation’s financial viability is affected by an event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D">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