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2PSY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2 PSYCHOLOGY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49142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449142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Studying psychology offers deep insights into human behaviour and societal issues, making it a compelling field for many young people. It fosters self-awareness and understanding of others through research, case studies, and observations, which enhance students' ability to communicate effectively and engage with their community. </w:t>
              <w:br w:type="textWrapping"/>
              <w:t xml:space="preserve">By examining the factors that influence behaviour and exploring ethical perspectives and cultural biases, you gain a comprehensive understanding of the nature of human beings and our complex interaction with the environments in which we live.</w:t>
              <w:br w:type="textWrapping"/>
              <w:t xml:space="preserve">Psychology cultivates critical thinking, scientific inquiry, and research skills, equipping students to navigate life's uncertainties with confidence and adaptability, and promoting lifelong learning and active community involvement.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44914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Social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the different psychological approaches that exist to explain human behaviour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examine and understand theories that are applied  within different fields of psychology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the ethical issues in psychological practice to consider rights and responsibilities in local and national contexts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be able to consider and construct arguments for different sides to a psychological debate and reflect on how this debate has changed over time</w:t>
            </w:r>
          </w:p>
          <w:p w:rsidR="00000000" w:rsidDel="00000000" w:rsidP="00000000" w:rsidRDefault="00000000" w:rsidRPr="00000000" w14:paraId="00000031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AS91844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Examine different psychological approaches used to explain a behaviour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AS91847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Examine how theory is used in fields of psychological practice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AS91848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Examine ethical issues in psychological practice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AS91845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Examine how a Psychological Debate has changed over time.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4914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www.nzqa.govt.nz/qualifications-standards/awards/university-entrance/literacy-requirements/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44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43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5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4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3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n-fmjoxxv63c6wp5nni2la7h5i3lzclxm5gcpehri-0lu-script.googleusercontent.com/userCodeAppPanel#columnPickerDrawer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ncea/subjects/literacy-and-numeracy/level-1-requirements/lit-num-subjec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n-fmjoxxv63c6wp5nni2la7h5i3lzclxm5gcpehri-0lu-script.googleusercontent.com/userCodeAppPanel#columnPickerDrawer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www.nzqa.govt.nz/qualifications-standards/awards/university-entrance/literacy-requirements/" TargetMode="External"/><Relationship Id="rId18" Type="http://schemas.openxmlformats.org/officeDocument/2006/relationships/hyperlink" Target="https://www.nzqa.govt.nz/ncea/subjects/literacy-and-numeracy/level-1-requirements/lit-num-subjec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