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3ACC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Accounting</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434343"/>
                <w:sz w:val="24"/>
                <w:szCs w:val="24"/>
              </w:rPr>
            </w:pPr>
            <w:r w:rsidDel="00000000" w:rsidR="00000000" w:rsidRPr="00000000">
              <w:rPr>
                <w:rFonts w:ascii="Source Sans Pro" w:cs="Source Sans Pro" w:eastAsia="Source Sans Pro" w:hAnsi="Source Sans Pro"/>
                <w:color w:val="434343"/>
                <w:sz w:val="24"/>
                <w:szCs w:val="24"/>
                <w:rtl w:val="0"/>
              </w:rPr>
              <w:t xml:space="preserve">Level Three Accounting develops ākonga’s understanding of how more complex businesses prepare financial statements, beginning by examining how businesses form partnerships and why. Ākonga then explore how businesses determine the costs to produce a product and the internal control systems they use to avoid fraud. A New Zealand business’s current  annual report will then be studied, including interpreting the financial statements and director’s report in conjunction with wider research, to recommend whether an investment should be made in this business’s shares. There will also be an opportunity to demonstrate spreadsheet skills.</w:t>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434343"/>
                <w:sz w:val="24"/>
                <w:szCs w:val="24"/>
              </w:rPr>
            </w:pPr>
            <w:r w:rsidDel="00000000" w:rsidR="00000000" w:rsidRPr="00000000">
              <w:rPr>
                <w:rFonts w:ascii="Source Sans Pro" w:cs="Source Sans Pro" w:eastAsia="Source Sans Pro" w:hAnsi="Source Sans Pro"/>
                <w:color w:val="434343"/>
                <w:sz w:val="24"/>
                <w:szCs w:val="24"/>
                <w:rtl w:val="0"/>
              </w:rPr>
              <w:t xml:space="preserve">Students who did not complete the Level 3 examination to demonstrate an understanding of management accounting to inform decision-making as Level 2 students, will then prepare for this external.</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Manage the financial affairs of individuals, whānau, and small, medium, or large entities, including community organisations, that may be local, regional, national, or global, to enable internal and external users to make effective and ethical decisions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Make use of appropriate communication tools and skills to process, report, and interpret information for individuals, whānau, and small, medium, or large entities, including community organisations, that may be local, regional, national, or global</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AS91405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Demonstrate understanding of accounting for partnerships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AS91409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Demonstrate understanding of a job cost subsystem for an entity.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AS91407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Prepare a report for an external user that interprets the annual report of a New Zealand reporting entity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US29706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Produce a spreadsheet for organisational use (Achieved only)</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5</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AS9140</w:t>
              </w:r>
            </w:hyperlink>
            <w:r w:rsidDel="00000000" w:rsidR="00000000" w:rsidRPr="00000000">
              <w:rPr>
                <w:rFonts w:ascii="Source Sans Pro" w:cs="Source Sans Pro" w:eastAsia="Source Sans Pro" w:hAnsi="Source Sans Pro"/>
                <w:color w:val="515151"/>
                <w:sz w:val="16"/>
                <w:szCs w:val="16"/>
                <w:rtl w:val="0"/>
              </w:rPr>
              <w:t xml:space="preserve">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Demonstrate understanding of </w:t>
              </w:r>
            </w:hyperlink>
            <w:r w:rsidDel="00000000" w:rsidR="00000000" w:rsidRPr="00000000">
              <w:rPr>
                <w:rFonts w:ascii="Source Sans Pro" w:cs="Source Sans Pro" w:eastAsia="Source Sans Pro" w:hAnsi="Source Sans Pro"/>
                <w:color w:val="515151"/>
                <w:sz w:val="16"/>
                <w:szCs w:val="16"/>
                <w:rtl w:val="0"/>
              </w:rPr>
              <w:t xml:space="preserve">management accounting to inform decision making</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4">
      <w:pPr>
        <w:widowControl w:val="0"/>
        <w:spacing w:line="240" w:lineRule="auto"/>
        <w:rPr>
          <w:sz w:val="18"/>
          <w:szCs w:val="18"/>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1.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