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3STU</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color w:val="515151"/>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w:t>
              </w:r>
            </w:hyperlink>
            <w:r w:rsidDel="00000000" w:rsidR="00000000" w:rsidRPr="00000000">
              <w:rPr>
                <w:rFonts w:ascii="Source Sans Pro" w:cs="Source Sans Pro" w:eastAsia="Source Sans Pro" w:hAnsi="Source Sans Pro"/>
                <w:color w:val="515151"/>
                <w:sz w:val="30"/>
                <w:szCs w:val="30"/>
                <w:rtl w:val="0"/>
              </w:rPr>
              <w:t xml:space="preserve">Study</w:t>
            </w: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left"/>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This class is time available for Level 3 students to study in their own place and at their own pace. There are no assessments or credits attached to this class. Students in this class are required to work on their own with no supervision at home or at school. To be eligible for this class students must have achieved NCEA Level 2, have a minimum of 90% attendance this year and an NCEA  record of academic achievement that has 100% completion. This class will benefit students enrolled in Scholarship or university papers. </w:t>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 Level 3 Trades students are not eligible to take this class. </w:t>
            </w:r>
          </w:p>
          <w:p w:rsidR="00000000" w:rsidDel="00000000" w:rsidP="00000000" w:rsidRDefault="00000000" w:rsidRPr="00000000" w14:paraId="0000000D">
            <w:pPr>
              <w:widowControl w:val="0"/>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E">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Entry into this class will be at the discretion of the Associate Senior Dean based on the criteria above. </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F">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6">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3">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4">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5">
            <w:pPr>
              <w:spacing w:line="240" w:lineRule="auto"/>
              <w:jc w:val="center"/>
              <w:rPr>
                <w:rFonts w:ascii="Source Sans Pro" w:cs="Source Sans Pro" w:eastAsia="Source Sans Pro" w:hAnsi="Source Sans Pro"/>
                <w:b w:val="1"/>
                <w:color w:val="ffffff"/>
                <w:sz w:val="36"/>
                <w:szCs w:val="36"/>
              </w:rPr>
            </w:pPr>
            <w:r w:rsidDel="00000000" w:rsidR="00000000" w:rsidRPr="00000000">
              <w:rPr>
                <w:rFonts w:ascii="Source Sans Pro" w:cs="Source Sans Pro" w:eastAsia="Source Sans Pro" w:hAnsi="Source Sans Pro"/>
                <w:b w:val="1"/>
                <w:color w:val="ffffff"/>
                <w:sz w:val="28"/>
                <w:szCs w:val="28"/>
                <w:rtl w:val="0"/>
              </w:rPr>
              <w:t xml:space="preserve">Study</w:t>
            </w:r>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B">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3">
              <w:r w:rsidDel="00000000" w:rsidR="00000000" w:rsidRPr="00000000">
                <w:rPr>
                  <w:rFonts w:ascii="Source Sans Pro" w:cs="Source Sans Pro" w:eastAsia="Source Sans Pro" w:hAnsi="Source Sans Pro"/>
                  <w:color w:val="515151"/>
                  <w:rtl w:val="0"/>
                </w:rPr>
                <w:t xml:space="preserve">Student</w:t>
              </w:r>
            </w:hyperlink>
            <w:r w:rsidDel="00000000" w:rsidR="00000000" w:rsidRPr="00000000">
              <w:rPr>
                <w:rFonts w:ascii="Source Sans Pro" w:cs="Source Sans Pro" w:eastAsia="Source Sans Pro" w:hAnsi="Source Sans Pro"/>
                <w:color w:val="515151"/>
                <w:rtl w:val="0"/>
              </w:rPr>
              <w:t xml:space="preserve">s have time in their timetable to dedicate to learning of their choice</w:t>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can self manage unsupervised  time to complete work for other classes </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pPr>
            <w:hyperlink r:id="rId15">
              <w:r w:rsidDel="00000000" w:rsidR="00000000" w:rsidRPr="00000000">
                <w:rPr>
                  <w:rFonts w:ascii="Source Sans Pro" w:cs="Source Sans Pro" w:eastAsia="Source Sans Pro" w:hAnsi="Source Sans Pro"/>
                  <w:color w:val="515151"/>
                  <w:rtl w:val="0"/>
                </w:rPr>
                <w:t xml:space="preserve">Students </w:t>
              </w:r>
            </w:hyperlink>
            <w:r w:rsidDel="00000000" w:rsidR="00000000" w:rsidRPr="00000000">
              <w:rPr>
                <w:rFonts w:ascii="Source Sans Pro" w:cs="Source Sans Pro" w:eastAsia="Source Sans Pro" w:hAnsi="Source Sans Pro"/>
                <w:color w:val="515151"/>
                <w:rtl w:val="0"/>
              </w:rPr>
              <w:t xml:space="preserve">doing University and/or Scholarship papers can use this time to complete work</w:t>
            </w:r>
            <w:r w:rsidDel="00000000" w:rsidR="00000000" w:rsidRPr="00000000">
              <w:rPr>
                <w:color w:val="515151"/>
                <w:rtl w:val="0"/>
              </w:rPr>
              <w:t xml:space="preserve"> </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4">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A">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3C">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6.png"/><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