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1REO</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Te Reo Māori</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L</w:t>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Dive into Māori language, customs, and culture! In this course, you’ll grow your confidence in speaking te reo, including saying karakia (prayers) and mihimihi (introductions). You’ll also learn about the history and values behind the language. Get involved in fun, hands-on activities, take part in rituals, and connect with your community. The course is taught in both Māori and English.</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Te Ao Māori</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Improve your spoken fluency of te reo Māori</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Gain confidence to recite karakia and mihimihi</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 Learn about the history of the Māori language</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Understand Māori customs and practices in the classroom</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Identify and understand Māori principles of the language</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US31507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Participate in the recitation of a karakia at a hui</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Oral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AS92093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Te whakapuaki whakaaro e pā ana ki tētahi horopaki e ora nei te reo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AS92092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Te kōrerorero i ngā pārongo, i ngā ariā me ngā whakaaro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Written, Oral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AS92095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Te tuhi e pā ana ki tētahi horopaki e taunga ana</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C">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4.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2.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1.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3.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