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3HAK</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3 </w:t>
            </w:r>
            <w:hyperlink r:id="rId6">
              <w:r w:rsidDel="00000000" w:rsidR="00000000" w:rsidRPr="00000000">
                <w:rPr>
                  <w:rFonts w:ascii="Source Sans Pro" w:cs="Source Sans Pro" w:eastAsia="Source Sans Pro" w:hAnsi="Source Sans Pro"/>
                  <w:color w:val="515151"/>
                  <w:sz w:val="30"/>
                  <w:szCs w:val="30"/>
                  <w:rtl w:val="0"/>
                </w:rPr>
                <w:t xml:space="preserve">Te Ao Haka</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Te Ao Haka, you’ll get to try out different parts of Māori culture like waiata (songs), mōteatea (chants), haka (war cries), and mau rākau (Māori weapon skills). You’ll learn how to perform all of these, plus pick up important tikanga (customs) like karakia (prayers) and pūrākau (stories) along the way.</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Gain a deep understanding of Te Ao Haka, a culturally responsive art form rooted in Māori culture, language, and tradition</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Recognise the integral role of culture, language, and identity within Te Ao Haka as vehicles for sharing and preserving Māori culture, tikanga, and knowledge systems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Develop a strong connection to family, marae, iwi, hapū, and waka</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Embrace the performing arts as a means of empowerment and self-expression</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US32955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Perform a Māori performing arts bracket with expression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Performance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AS91986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Perform two Te Ao Haka disciplines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57">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58">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59">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5A">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5B">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5C">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