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w:t>
            </w:r>
            <w:r w:rsidDel="00000000" w:rsidR="00000000" w:rsidRPr="00000000">
              <w:rPr>
                <w:rFonts w:ascii="Source Sans Pro" w:cs="Source Sans Pro" w:eastAsia="Source Sans Pro" w:hAnsi="Source Sans Pro"/>
                <w:b w:val="1"/>
                <w:sz w:val="82"/>
                <w:szCs w:val="82"/>
                <w:rtl w:val="0"/>
              </w:rPr>
              <w:t xml:space="preserve">REO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3 </w:t>
            </w:r>
            <w:hyperlink r:id="rId6">
              <w:r w:rsidDel="00000000" w:rsidR="00000000" w:rsidRPr="00000000">
                <w:rPr>
                  <w:rFonts w:ascii="Source Sans Pro" w:cs="Source Sans Pro" w:eastAsia="Source Sans Pro" w:hAnsi="Source Sans Pro"/>
                  <w:color w:val="515151"/>
                  <w:sz w:val="30"/>
                  <w:szCs w:val="30"/>
                  <w:rtl w:val="0"/>
                </w:rPr>
                <w:t xml:space="preserve">Te Reo Māori</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Jump right into Māori language, customs, and culture! You’ll get better at speaking te reo, especially saying karakia (prayers) and mihimihi (introductions) with confidence. You’ll also explore the history and meaning behind the language. Plus, you’ll take part in hands-on activities, rituals, and community events that make learning real and interesting. The course is taught in both Māori and English.</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Improve your spoken fluency of te reo Māori</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confidence in order to recite karakia and mihimihi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Learn about the history of the Māori language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Understand Māori customs and practices in the classroom</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Identify and understand Māori principles of the language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US17784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Discuss, examine and recite appropriate karakia in tourism Māori</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AS91654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Waihanga tuhinga whai take i te reo Māori o te ao whānui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AS91651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Kōrero kia whakamahi i te reo Māori o te ao whānui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AS91653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Tuhi i te reo Māori o te ao whānui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D">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