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2DIG</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ECHNOLOGY</w:t>
              </w:r>
            </w:hyperlink>
            <w:r w:rsidDel="00000000" w:rsidR="00000000" w:rsidRPr="00000000">
              <w:rPr>
                <w:rFonts w:ascii="Source Sans Pro" w:cs="Source Sans Pro" w:eastAsia="Source Sans Pro" w:hAnsi="Source Sans Pro"/>
                <w:sz w:val="30"/>
                <w:szCs w:val="30"/>
                <w:rtl w:val="0"/>
              </w:rPr>
              <w:t xml:space="preserve"> </w:t>
            </w:r>
            <w:hyperlink r:id="rId7">
              <w:r w:rsidDel="00000000" w:rsidR="00000000" w:rsidRPr="00000000">
                <w:rPr>
                  <w:rFonts w:ascii="Source Sans Pro" w:cs="Source Sans Pro" w:eastAsia="Source Sans Pro" w:hAnsi="Source Sans Pro"/>
                  <w:color w:val="515151"/>
                  <w:sz w:val="30"/>
                  <w:szCs w:val="30"/>
                  <w:rtl w:val="0"/>
                </w:rPr>
                <w:t xml:space="preserve">DIGITAL</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This course builds on the experience and understanding developed at Level 1 to support students as they continue to develop their technological practice. This will include identifying critical elements in a brief, undertaking research, problem solving, and production of a specified solution.</w:t>
              <w:br w:type="textWrapping"/>
              <w:t xml:space="preserve">Students will be required to code an advanced website, integrate a dynamic database solution, program an advanced computer application, and present an investigation into a current aspect of computer science. The standards listed are to provide flexibility for students who wish to explore either Computer Science or Digital Media rather than Programming. Selection of standards will be in conjunction with their teacher on a case by case basis. Students will not be assessed on all the standards listed. </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develop  an understanding of computational thinking that enables them  to express problems and formulate solutions in a way that supports the application of digital technology</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Students will plan, produce, and evaluate digital media and information outcomes to ensure they are fit for purpose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develop an understanding of the relevant implications of the use of digital technology and information systems</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91891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Apply conventions to develop a design for a digital technologies outcome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91892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Use advanced techniques to develop a database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91893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Advanced techniques to develop a digital media outcome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91896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advanced programming techniques to develop a computer program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91897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Use advanced process to  develop a digital technologies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 91898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a computer science concept</w:t>
              </w:r>
            </w:hyperlink>
            <w:r w:rsidDel="00000000" w:rsidR="00000000" w:rsidRPr="00000000">
              <w:rPr>
                <w:rFonts w:ascii="Source Sans Pro" w:cs="Source Sans Pro" w:eastAsia="Source Sans Pro" w:hAnsi="Source Sans Pro"/>
                <w:color w:val="515151"/>
                <w:sz w:val="16"/>
                <w:szCs w:val="16"/>
                <w:rtl w:val="0"/>
              </w:rPr>
              <w:t xml:space="preserve"> </w:t>
            </w:r>
            <w:hyperlink r:id="rId43">
              <w:r w:rsidDel="00000000" w:rsidR="00000000" w:rsidRPr="00000000">
                <w:rPr>
                  <w:rFonts w:ascii="Source Sans Pro" w:cs="Source Sans Pro" w:eastAsia="Source Sans Pro" w:hAnsi="Source Sans Pro"/>
                  <w:color w:val="515151"/>
                  <w:sz w:val="16"/>
                  <w:szCs w:val="16"/>
                  <w:rtl w:val="0"/>
                </w:rPr>
                <w:t xml:space="preserve">(optional)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DCAT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 91899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Present a summary of developing a digital outcome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DCAT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8">
      <w:pPr>
        <w:widowControl w:val="0"/>
        <w:spacing w:line="240" w:lineRule="auto"/>
        <w:rPr>
          <w:sz w:val="18"/>
          <w:szCs w:val="18"/>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3.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