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2DVC</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2 T</w:t>
            </w:r>
            <w:hyperlink r:id="rId6">
              <w:r w:rsidDel="00000000" w:rsidR="00000000" w:rsidRPr="00000000">
                <w:rPr>
                  <w:rFonts w:ascii="Source Sans Pro" w:cs="Source Sans Pro" w:eastAsia="Source Sans Pro" w:hAnsi="Source Sans Pro"/>
                  <w:color w:val="515151"/>
                  <w:sz w:val="30"/>
                  <w:szCs w:val="30"/>
                  <w:rtl w:val="0"/>
                </w:rPr>
                <w:t xml:space="preserve">ECHNOLOGY DVC</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DVC is a creative design course. It encourages students to research ideas, develop interesting and unique concepts, and present work through a wide range of drawing styles and multidimensional CAD programs. Students will learn to be observant, analytical and critical of existing outcomes, and identify elements that will inform their responses across multiple scales and design contexts.</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Technology</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demonstrate understanding of and skills in advanced visual communication techniques to visually communicate and present detailed visual information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demonstrate ability to explore and develop design ideas by applying specialist visual communication and design knowledge and techniques in response to a brief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demonstrate understanding of design movements or eras</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2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AS91337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Use visual communication techniques to generate design ideas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AS91342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Develop a product  design through graphics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AS91341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Develop a spatial design through graphics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AS91343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Use visual communication techniques to compose a presentation of a design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