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3HMT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3 T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echnology </w:t>
              </w:r>
            </w:hyperlink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- Hard Materials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Creativity and problem solving are much sought after attributes. Students will identify real problems / issues / situations that need resolving in the community. They will work with a client / stakeholder to explore the issue in detail and discuss ideas for solutions. Students will create a custom solution to the issue, considering its fitness for purpose in the 21st century. They will need to consider its life cycle, impact on the environment, ethical issues, and more.</w:t>
              <w:br w:type="textWrapping"/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identify a client / stakeholder, and learn to design and make a product for a client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learn that products’ fitness for purpose can also be judged by other factors such as sustainability, economics, environmental impact, human / social impacts etc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learn advanced techniques and apply them with accuracy</w:t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 91620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Implement complex procedures to integrate parts using resistant materials to make a specified product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AS91608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Undertake brief development to address an issue with a determined context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AS91611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Develop a prototype considering fitness for purpose in the broadest sense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AS91612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understanding of how technological modelling supports technological development and implementation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cc0000"/>
          <w:rtl w:val="0"/>
        </w:rPr>
        <w:t xml:space="preserve">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fldChar w:fldCharType="begin"/>
        <w:instrText xml:space="preserve"> HYPERLINK "https://n-fmjoxxv63c6wp5nni2la7h5i3lzclxm5gcpehri-0lu-script.googleusercontent.com/userCodeAppPanel#columnPickerDrawer"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qualifications-standards/awards/university-entrance/literacy-requirements/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image" Target="media/image2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6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5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image" Target="media/image4.png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3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