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Visual Art Design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‘Brand Identity: Your Design Voice’ is a full-year Visual Arts course where you will develop a personal brand through a creative design process. You’ll establish a theme of interest, conduct in-depth research, and make stylistic decisions to create effective, aesthetic design solutions. You'll explore traditional and contemporary design movements, referencing local and international designers for inspiration. A personalised brief will guide your work. Internal assessments build toward a resolved external folio (3 x A1 boards). You’ll refine your ideas using photography, digital art, collage, and illustration, with the opportunity to enter Scholarship Design.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4"/>
                <w:szCs w:val="24"/>
                <w:rtl w:val="0"/>
              </w:rPr>
              <w:t xml:space="preserve">This course leads to tertiary study for a variety of careers in the Visual Arts. ie. spatial design, industrial design, visual communication, architecture, illustration, art director, product design, logo, brand, web, concept designer, UX and UI Designing and a range of creative industries and education.</w:t>
              <w:br w:type="textWrapping"/>
              <w:t xml:space="preserve"> </w:t>
              <w:br w:type="textWrapping"/>
              <w:t xml:space="preserve">NB; Level 2 Visual Arts Design is an advantage to Level 3 Design OR please see the Visual Arts team to discuss.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Visual Arts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Investigate and analyse the relationship between the production of art works and the contexts in which they are made, viewed, and valued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Consider and reflect on the contexts underlying their own and others’ work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Involves critically selecting and using particular processes, procedures, materials, techniques and pictorial conventions according to an intended purpose when making designs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Techniques and processes to arrange elements (eg line, shape, space, colour, tone, point, texture, form, mass) and principles (eg balance, harmony, rhythm, emphasis, contrast) to inform artwork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Generate, develop, and clarify ideas, showing some understanding of established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Sequence and link ideas systematically as they solve problems in a body of work, using  design drawing to research, analyse, record, concept visualisation, prototypes, models and evaluative notes, refinements and solutions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Identify and analyse processes and procedures from established practice that influence ways of communicating meaning. Investigate, analyse, and evaluate ideas and interpret Artists/Designers intentions in art works</w:t>
            </w:r>
          </w:p>
          <w:p w:rsidR="00000000" w:rsidDel="00000000" w:rsidP="00000000" w:rsidRDefault="00000000" w:rsidRPr="00000000" w14:paraId="00000036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Use drawing to demonstrate understanding of conventions appropriate to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Systematically clarify ideas using drawing informed by established design 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Visual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AS91455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Produce a systematic body of work that integrates conventions and regenerates ideas within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14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methods and ideas from established design 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ncea/subjects/literacy-and-numeracy/level-1-requirements/lit-num-subjec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www.nzqa.govt.nz/qualifications-standards/awards/university-entrance/literacy-requirements/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www.nzqa.govt.nz/ncea/subjects/literacy-and-numeracy/level-1-requirements/lit-num-subjects/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www.nzqa.govt.nz/qualifications-standards/awards/university-entrance/literacy-requirements/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3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2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n-fmjoxxv63c6wp5nni2la7h5i3lzclxm5gcpehri-0lu-script.googleusercontent.com/userCodeAppPanel#columnPickerDra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