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3PHO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Visual Art Photography  </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i w:val="1"/>
                <w:sz w:val="24"/>
                <w:szCs w:val="24"/>
                <w:rtl w:val="0"/>
              </w:rPr>
              <w:t xml:space="preserve">‘Perception Beyond the Lens’</w:t>
            </w:r>
            <w:r w:rsidDel="00000000" w:rsidR="00000000" w:rsidRPr="00000000">
              <w:rPr>
                <w:rFonts w:ascii="Source Sans Pro" w:cs="Source Sans Pro" w:eastAsia="Source Sans Pro" w:hAnsi="Source Sans Pro"/>
                <w:sz w:val="24"/>
                <w:szCs w:val="24"/>
                <w:rtl w:val="0"/>
              </w:rPr>
              <w:t xml:space="preserve"> invites you to develop a thematic approach based on a theme of personal interest. You will explore ideas and use artist model conventions for inspiration. You will use technologies and mixed media to create conceptually rich photographic work. Internal assessments prepare you for your external folio (3 x A1 boards). Through deep research, analysis, and reflection, you will present ideas in new and sophisticated ways, beyond the lens of perception. This course supports pathways into visual arts careers such as photography, design, media, and museum or gallery curation. There is also the opportunity for you to enter into Scholarship. </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3PHO</w:t>
            </w:r>
            <w:hyperlink r:id="rId7">
              <w:r w:rsidDel="00000000" w:rsidR="00000000" w:rsidRPr="00000000">
                <w:rPr>
                  <w:rFonts w:ascii="Source Sans Pro" w:cs="Source Sans Pro" w:eastAsia="Source Sans Pro" w:hAnsi="Source Sans Pro"/>
                  <w:sz w:val="24"/>
                  <w:szCs w:val="24"/>
                  <w:rtl w:val="0"/>
                </w:rPr>
                <w:t xml:space="preserve"> leads to tertiary study for a range of careers in the Visual Arts. ie.digital media, photography, design, architecture, creative industries, education, museum and gallery curation, freelance photographer. </w:t>
                <w:br w:type="textWrapping"/>
                <w:br w:type="textWrapping"/>
                <w:t xml:space="preserve">NB; Level 2 Photography is an advantage to Level 3 Photography OR please see the Visual Arts team to discuss.</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Visual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Research and analyse the influences of contexts on the characteristics and production of art works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Research and analyse the influence of relevant contexts on their own work</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Apply understanding from research into a range of established practice to extend skills for particular art-making purposes, using appropriate processes and procedures in selected fields</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Extend skills, in a range of materials, techniques, and technologies</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Generate, analyse, clarify, and extend ideas in a selected field related to established practice</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Use a systematic approach to the development of ideas in a body of work</w:t>
              </w:r>
            </w:hyperlink>
            <w:r w:rsidDel="00000000" w:rsidR="00000000" w:rsidRPr="00000000">
              <w:rPr>
                <w:rtl w:val="0"/>
              </w:rPr>
            </w:r>
          </w:p>
          <w:p w:rsidR="00000000" w:rsidDel="00000000" w:rsidP="00000000" w:rsidRDefault="00000000" w:rsidRPr="00000000" w14:paraId="00000035">
            <w:pPr>
              <w:widowControl w:val="0"/>
              <w:numPr>
                <w:ilvl w:val="0"/>
                <w:numId w:val="1"/>
              </w:numPr>
              <w:ind w:left="720" w:hanging="360"/>
              <w:rPr>
                <w:rFonts w:ascii="Source Sans Pro" w:cs="Source Sans Pro" w:eastAsia="Source Sans Pro" w:hAnsi="Source Sans Pro"/>
                <w:sz w:val="24"/>
                <w:szCs w:val="24"/>
              </w:rPr>
            </w:pPr>
            <w:hyperlink r:id="rId21">
              <w:r w:rsidDel="00000000" w:rsidR="00000000" w:rsidRPr="00000000">
                <w:rPr>
                  <w:rFonts w:ascii="Source Sans Pro" w:cs="Source Sans Pro" w:eastAsia="Source Sans Pro" w:hAnsi="Source Sans Pro"/>
                  <w:color w:val="515151"/>
                  <w:rtl w:val="0"/>
                </w:rPr>
                <w:t xml:space="preserve">Research and analyse how artworks are constructed and presented to communicate meanings</w:t>
              </w:r>
            </w:hyperlink>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Use critical analysis to interpret and respond to art works</w:t>
            </w:r>
          </w:p>
          <w:p w:rsidR="00000000" w:rsidDel="00000000" w:rsidP="00000000" w:rsidRDefault="00000000" w:rsidRPr="00000000" w14:paraId="00000037">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D">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E">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b w:val="1"/>
                <w:sz w:val="16"/>
                <w:szCs w:val="16"/>
              </w:rPr>
            </w:pPr>
            <w:hyperlink r:id="rId2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2"/>
                <w:szCs w:val="12"/>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AS91447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spacing w:line="240" w:lineRule="auto"/>
              <w:rPr>
                <w:rFonts w:ascii="Source Sans Pro" w:cs="Source Sans Pro" w:eastAsia="Source Sans Pro" w:hAnsi="Source Sans Pro"/>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Use drawing to demonstrate understanding of conventions appropriate to photography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 AS91452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Systematically clarify ideas using drawing informed by established photography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AS91457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Produce a systematic body of work that integrates conventions and regenerates ideas within photography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14 </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AS91442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Analyse methods and ideas from established photography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AS91460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Produce a resolved work that demonstrates purposeful control of skills appropriate to a visual arts cultural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D">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E">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23" Type="http://schemas.openxmlformats.org/officeDocument/2006/relationships/hyperlink" Target="https://www.nzqa.govt.nz/ncea/subjects/literacy-and-numeracy/level-1-requirements/lit-num-subjects/"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www.nzqa.govt.nz/qualifications-standards/awards/university-entrance/literacy-requirements/"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5.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1.png"/><Relationship Id="rId12" Type="http://schemas.openxmlformats.org/officeDocument/2006/relationships/image" Target="media/image2.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